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0FC1" w:rsidRDefault="004D1221">
      <w:pPr>
        <w:pStyle w:val="Title"/>
      </w:pPr>
      <w:bookmarkStart w:id="0" w:name="_5bq2xcni9ery" w:colFirst="0" w:colLast="0"/>
      <w:bookmarkStart w:id="1" w:name="_GoBack"/>
      <w:bookmarkEnd w:id="0"/>
      <w:bookmarkEnd w:id="1"/>
      <w:r>
        <w:t>The 5-Box Scenario Planning Tool</w:t>
      </w:r>
    </w:p>
    <w:p w:rsidR="009A0FC1" w:rsidRDefault="004D1221">
      <w:pPr>
        <w:jc w:val="center"/>
        <w:rPr>
          <w:highlight w:val="yellow"/>
        </w:rPr>
      </w:pPr>
      <w:r>
        <w:rPr>
          <w:b/>
          <w:i/>
          <w:highlight w:val="yellow"/>
        </w:rPr>
        <w:t>***To get your own editable copy of this template, go to File &gt; Make a copy</w:t>
      </w:r>
    </w:p>
    <w:p w:rsidR="009A0FC1" w:rsidRDefault="004D1221">
      <w:pPr>
        <w:pStyle w:val="Heading1"/>
      </w:pPr>
      <w:bookmarkStart w:id="2" w:name="_szuocighmqvj" w:colFirst="0" w:colLast="0"/>
      <w:bookmarkEnd w:id="2"/>
      <w:r>
        <w:t>Step 1. Construct the Scenarios</w:t>
      </w:r>
    </w:p>
    <w:tbl>
      <w:tblPr>
        <w:tblStyle w:val="a"/>
        <w:tblW w:w="14325" w:type="dxa"/>
        <w:tblInd w:w="13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895"/>
        <w:gridCol w:w="3435"/>
        <w:gridCol w:w="4050"/>
        <w:gridCol w:w="3945"/>
      </w:tblGrid>
      <w:tr w:rsidR="009A0FC1">
        <w:tc>
          <w:tcPr>
            <w:tcW w:w="2895" w:type="dxa"/>
            <w:shd w:val="clear" w:color="auto" w:fill="802144"/>
            <w:tcMar>
              <w:top w:w="100" w:type="dxa"/>
              <w:left w:w="100" w:type="dxa"/>
              <w:bottom w:w="100" w:type="dxa"/>
              <w:right w:w="100" w:type="dxa"/>
            </w:tcMar>
          </w:tcPr>
          <w:p w:rsidR="009A0FC1" w:rsidRDefault="004D1221">
            <w:pPr>
              <w:widowControl w:val="0"/>
              <w:pBdr>
                <w:top w:val="nil"/>
                <w:left w:val="nil"/>
                <w:bottom w:val="nil"/>
                <w:right w:val="nil"/>
                <w:between w:val="nil"/>
              </w:pBdr>
              <w:rPr>
                <w:color w:val="FFFFFF"/>
              </w:rPr>
            </w:pPr>
            <w:r>
              <w:rPr>
                <w:b/>
                <w:color w:val="FFFFFF"/>
              </w:rPr>
              <w:t xml:space="preserve">Assumptions </w:t>
            </w:r>
            <w:r>
              <w:rPr>
                <w:rFonts w:ascii="Arial Unicode MS" w:eastAsia="Arial Unicode MS" w:hAnsi="Arial Unicode MS" w:cs="Arial Unicode MS"/>
                <w:color w:val="FFFFFF"/>
              </w:rPr>
              <w:t>↓</w:t>
            </w:r>
          </w:p>
        </w:tc>
        <w:tc>
          <w:tcPr>
            <w:tcW w:w="3435" w:type="dxa"/>
            <w:shd w:val="clear" w:color="auto" w:fill="802144"/>
            <w:tcMar>
              <w:top w:w="100" w:type="dxa"/>
              <w:left w:w="100" w:type="dxa"/>
              <w:bottom w:w="100" w:type="dxa"/>
              <w:right w:w="100" w:type="dxa"/>
            </w:tcMar>
          </w:tcPr>
          <w:p w:rsidR="009A0FC1" w:rsidRDefault="004D1221">
            <w:pPr>
              <w:widowControl w:val="0"/>
              <w:pBdr>
                <w:top w:val="nil"/>
                <w:left w:val="nil"/>
                <w:bottom w:val="nil"/>
                <w:right w:val="nil"/>
                <w:between w:val="nil"/>
              </w:pBdr>
              <w:rPr>
                <w:b/>
                <w:color w:val="FFFFFF"/>
              </w:rPr>
            </w:pPr>
            <w:r>
              <w:rPr>
                <w:b/>
                <w:color w:val="FFFFFF"/>
              </w:rPr>
              <w:t>Scenario A: [Name]</w:t>
            </w:r>
          </w:p>
        </w:tc>
        <w:tc>
          <w:tcPr>
            <w:tcW w:w="4050" w:type="dxa"/>
            <w:shd w:val="clear" w:color="auto" w:fill="802144"/>
            <w:tcMar>
              <w:top w:w="100" w:type="dxa"/>
              <w:left w:w="100" w:type="dxa"/>
              <w:bottom w:w="100" w:type="dxa"/>
              <w:right w:w="100" w:type="dxa"/>
            </w:tcMar>
          </w:tcPr>
          <w:p w:rsidR="009A0FC1" w:rsidRDefault="004D1221">
            <w:pPr>
              <w:widowControl w:val="0"/>
              <w:pBdr>
                <w:top w:val="nil"/>
                <w:left w:val="nil"/>
                <w:bottom w:val="nil"/>
                <w:right w:val="nil"/>
                <w:between w:val="nil"/>
              </w:pBdr>
              <w:rPr>
                <w:b/>
                <w:color w:val="FFFFFF"/>
              </w:rPr>
            </w:pPr>
            <w:r>
              <w:rPr>
                <w:b/>
                <w:color w:val="FFFFFF"/>
              </w:rPr>
              <w:t>Scenario B: [Name]</w:t>
            </w:r>
          </w:p>
        </w:tc>
        <w:tc>
          <w:tcPr>
            <w:tcW w:w="3945" w:type="dxa"/>
            <w:shd w:val="clear" w:color="auto" w:fill="802144"/>
            <w:tcMar>
              <w:top w:w="100" w:type="dxa"/>
              <w:left w:w="100" w:type="dxa"/>
              <w:bottom w:w="100" w:type="dxa"/>
              <w:right w:w="100" w:type="dxa"/>
            </w:tcMar>
          </w:tcPr>
          <w:p w:rsidR="009A0FC1" w:rsidRDefault="004D1221">
            <w:pPr>
              <w:widowControl w:val="0"/>
              <w:pBdr>
                <w:top w:val="nil"/>
                <w:left w:val="nil"/>
                <w:bottom w:val="nil"/>
                <w:right w:val="nil"/>
                <w:between w:val="nil"/>
              </w:pBdr>
              <w:rPr>
                <w:b/>
                <w:color w:val="FFFFFF"/>
              </w:rPr>
            </w:pPr>
            <w:r>
              <w:rPr>
                <w:b/>
                <w:color w:val="FFFFFF"/>
              </w:rPr>
              <w:t>Scenario C: [Name]</w:t>
            </w:r>
          </w:p>
        </w:tc>
      </w:tr>
      <w:tr w:rsidR="009A0FC1">
        <w:tc>
          <w:tcPr>
            <w:tcW w:w="2895" w:type="dxa"/>
            <w:shd w:val="clear" w:color="auto" w:fill="auto"/>
            <w:tcMar>
              <w:top w:w="100" w:type="dxa"/>
              <w:left w:w="100" w:type="dxa"/>
              <w:bottom w:w="100" w:type="dxa"/>
              <w:right w:w="100" w:type="dxa"/>
            </w:tcMar>
          </w:tcPr>
          <w:p w:rsidR="009A0FC1" w:rsidRDefault="004D1221">
            <w:pPr>
              <w:widowControl w:val="0"/>
              <w:pBdr>
                <w:top w:val="nil"/>
                <w:left w:val="nil"/>
                <w:bottom w:val="nil"/>
                <w:right w:val="nil"/>
                <w:between w:val="nil"/>
              </w:pBdr>
            </w:pPr>
            <w:r>
              <w:rPr>
                <w:b/>
              </w:rPr>
              <w:t>Key Assumption</w:t>
            </w:r>
            <w:r>
              <w:rPr>
                <w:vertAlign w:val="superscript"/>
              </w:rPr>
              <w:footnoteReference w:id="1"/>
            </w:r>
          </w:p>
          <w:p w:rsidR="009A0FC1" w:rsidRDefault="004D1221">
            <w:pPr>
              <w:widowControl w:val="0"/>
              <w:pBdr>
                <w:top w:val="nil"/>
                <w:left w:val="nil"/>
                <w:bottom w:val="nil"/>
                <w:right w:val="nil"/>
                <w:between w:val="nil"/>
              </w:pBdr>
            </w:pPr>
            <w:r>
              <w:t>(e.g., Timing:</w:t>
            </w:r>
            <w:r>
              <w:t xml:space="preserve"> When do we think the restrictions resulting from the pandemic will end?) </w:t>
            </w:r>
          </w:p>
        </w:tc>
        <w:tc>
          <w:tcPr>
            <w:tcW w:w="3435"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c>
          <w:tcPr>
            <w:tcW w:w="4050"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c>
          <w:tcPr>
            <w:tcW w:w="3945"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r>
      <w:tr w:rsidR="009A0FC1">
        <w:tc>
          <w:tcPr>
            <w:tcW w:w="2895" w:type="dxa"/>
            <w:shd w:val="clear" w:color="auto" w:fill="auto"/>
            <w:tcMar>
              <w:top w:w="100" w:type="dxa"/>
              <w:left w:w="100" w:type="dxa"/>
              <w:bottom w:w="100" w:type="dxa"/>
              <w:right w:w="100" w:type="dxa"/>
            </w:tcMar>
          </w:tcPr>
          <w:p w:rsidR="009A0FC1" w:rsidRDefault="004D1221">
            <w:pPr>
              <w:widowControl w:val="0"/>
              <w:pBdr>
                <w:top w:val="nil"/>
                <w:left w:val="nil"/>
                <w:bottom w:val="nil"/>
                <w:right w:val="nil"/>
                <w:between w:val="nil"/>
              </w:pBdr>
            </w:pPr>
            <w:r>
              <w:rPr>
                <w:b/>
              </w:rPr>
              <w:t>Programmatic Impact:</w:t>
            </w:r>
            <w:r>
              <w:t xml:space="preserve"> How deeply would our programs be impacted (and how)? </w:t>
            </w:r>
          </w:p>
        </w:tc>
        <w:tc>
          <w:tcPr>
            <w:tcW w:w="3435"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c>
          <w:tcPr>
            <w:tcW w:w="4050"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c>
          <w:tcPr>
            <w:tcW w:w="3945"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r>
      <w:tr w:rsidR="009A0FC1">
        <w:tc>
          <w:tcPr>
            <w:tcW w:w="2895" w:type="dxa"/>
            <w:shd w:val="clear" w:color="auto" w:fill="auto"/>
            <w:tcMar>
              <w:top w:w="100" w:type="dxa"/>
              <w:left w:w="100" w:type="dxa"/>
              <w:bottom w:w="100" w:type="dxa"/>
              <w:right w:w="100" w:type="dxa"/>
            </w:tcMar>
          </w:tcPr>
          <w:p w:rsidR="009A0FC1" w:rsidRDefault="004D1221">
            <w:pPr>
              <w:widowControl w:val="0"/>
              <w:pBdr>
                <w:top w:val="nil"/>
                <w:left w:val="nil"/>
                <w:bottom w:val="nil"/>
                <w:right w:val="nil"/>
                <w:between w:val="nil"/>
              </w:pBdr>
              <w:rPr>
                <w:i/>
              </w:rPr>
            </w:pPr>
            <w:r>
              <w:rPr>
                <w:b/>
              </w:rPr>
              <w:t>Financial Impact:</w:t>
            </w:r>
            <w:r>
              <w:rPr>
                <w:i/>
              </w:rPr>
              <w:t xml:space="preserve"> </w:t>
            </w:r>
            <w:r>
              <w:t>How will our finances (especially revenues) be impacted?</w:t>
            </w:r>
          </w:p>
        </w:tc>
        <w:tc>
          <w:tcPr>
            <w:tcW w:w="3435"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c>
          <w:tcPr>
            <w:tcW w:w="4050"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c>
          <w:tcPr>
            <w:tcW w:w="3945"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r>
      <w:tr w:rsidR="009A0FC1">
        <w:tc>
          <w:tcPr>
            <w:tcW w:w="2895" w:type="dxa"/>
            <w:shd w:val="clear" w:color="auto" w:fill="auto"/>
            <w:tcMar>
              <w:top w:w="100" w:type="dxa"/>
              <w:left w:w="100" w:type="dxa"/>
              <w:bottom w:w="100" w:type="dxa"/>
              <w:right w:w="100" w:type="dxa"/>
            </w:tcMar>
          </w:tcPr>
          <w:p w:rsidR="009A0FC1" w:rsidRDefault="004D1221">
            <w:pPr>
              <w:widowControl w:val="0"/>
              <w:pBdr>
                <w:top w:val="nil"/>
                <w:left w:val="nil"/>
                <w:bottom w:val="nil"/>
                <w:right w:val="nil"/>
                <w:between w:val="nil"/>
              </w:pBdr>
              <w:rPr>
                <w:i/>
              </w:rPr>
            </w:pPr>
            <w:r>
              <w:rPr>
                <w:b/>
              </w:rPr>
              <w:t xml:space="preserve">People Impact: </w:t>
            </w:r>
            <w:r>
              <w:t>How would this impact our staff, volunteers, clients, partners, other stakeholders?</w:t>
            </w:r>
            <w:r>
              <w:rPr>
                <w:i/>
              </w:rPr>
              <w:t xml:space="preserve"> </w:t>
            </w:r>
          </w:p>
        </w:tc>
        <w:tc>
          <w:tcPr>
            <w:tcW w:w="3435"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c>
          <w:tcPr>
            <w:tcW w:w="4050"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c>
          <w:tcPr>
            <w:tcW w:w="3945"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r>
      <w:tr w:rsidR="009A0FC1">
        <w:trPr>
          <w:trHeight w:val="1575"/>
        </w:trPr>
        <w:tc>
          <w:tcPr>
            <w:tcW w:w="2895" w:type="dxa"/>
            <w:shd w:val="clear" w:color="auto" w:fill="auto"/>
            <w:tcMar>
              <w:top w:w="100" w:type="dxa"/>
              <w:left w:w="100" w:type="dxa"/>
              <w:bottom w:w="100" w:type="dxa"/>
              <w:right w:w="100" w:type="dxa"/>
            </w:tcMar>
            <w:vAlign w:val="center"/>
          </w:tcPr>
          <w:p w:rsidR="009A0FC1" w:rsidRDefault="004D1221">
            <w:pPr>
              <w:widowControl w:val="0"/>
              <w:pBdr>
                <w:top w:val="nil"/>
                <w:left w:val="nil"/>
                <w:bottom w:val="nil"/>
                <w:right w:val="nil"/>
                <w:between w:val="nil"/>
              </w:pBdr>
              <w:rPr>
                <w:b/>
              </w:rPr>
            </w:pPr>
            <w:r>
              <w:rPr>
                <w:b/>
              </w:rPr>
              <w:t xml:space="preserve">Scenario Summary </w:t>
            </w:r>
            <w:r>
              <w:rPr>
                <w:rFonts w:ascii="Arial Unicode MS" w:eastAsia="Arial Unicode MS" w:hAnsi="Arial Unicode MS" w:cs="Arial Unicode MS"/>
              </w:rPr>
              <w:t>→</w:t>
            </w:r>
            <w:r>
              <w:rPr>
                <w:b/>
              </w:rPr>
              <w:t xml:space="preserve"> </w:t>
            </w:r>
          </w:p>
        </w:tc>
        <w:tc>
          <w:tcPr>
            <w:tcW w:w="3435"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c>
          <w:tcPr>
            <w:tcW w:w="4050"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c>
          <w:tcPr>
            <w:tcW w:w="3945"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pPr>
          </w:p>
        </w:tc>
      </w:tr>
    </w:tbl>
    <w:p w:rsidR="009A0FC1" w:rsidRDefault="004D1221">
      <w:pPr>
        <w:pStyle w:val="Heading1"/>
      </w:pPr>
      <w:bookmarkStart w:id="3" w:name="_e7vjq8qw4wo8" w:colFirst="0" w:colLast="0"/>
      <w:bookmarkEnd w:id="3"/>
      <w:r>
        <w:lastRenderedPageBreak/>
        <w:t>Step 2. Create an Action Plan for One Scenario</w:t>
      </w:r>
    </w:p>
    <w:tbl>
      <w:tblPr>
        <w:tblStyle w:val="a0"/>
        <w:tblW w:w="14355" w:type="dxa"/>
        <w:tblInd w:w="11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7185"/>
        <w:gridCol w:w="7170"/>
      </w:tblGrid>
      <w:tr w:rsidR="009A0FC1">
        <w:tc>
          <w:tcPr>
            <w:tcW w:w="7185" w:type="dxa"/>
            <w:shd w:val="clear" w:color="auto" w:fill="802144"/>
            <w:tcMar>
              <w:top w:w="100" w:type="dxa"/>
              <w:left w:w="100" w:type="dxa"/>
              <w:bottom w:w="100" w:type="dxa"/>
              <w:right w:w="100" w:type="dxa"/>
            </w:tcMar>
          </w:tcPr>
          <w:p w:rsidR="009A0FC1" w:rsidRDefault="004D1221">
            <w:pPr>
              <w:widowControl w:val="0"/>
              <w:jc w:val="center"/>
              <w:rPr>
                <w:b/>
                <w:color w:val="FFFFFF"/>
                <w:sz w:val="24"/>
                <w:szCs w:val="24"/>
              </w:rPr>
            </w:pPr>
            <w:r>
              <w:rPr>
                <w:b/>
                <w:color w:val="FFFFFF"/>
                <w:sz w:val="24"/>
                <w:szCs w:val="24"/>
              </w:rPr>
              <w:t xml:space="preserve">Scenario Name &amp; Description </w:t>
            </w:r>
          </w:p>
        </w:tc>
        <w:tc>
          <w:tcPr>
            <w:tcW w:w="7170" w:type="dxa"/>
            <w:shd w:val="clear" w:color="auto" w:fill="802144"/>
            <w:tcMar>
              <w:top w:w="100" w:type="dxa"/>
              <w:left w:w="100" w:type="dxa"/>
              <w:bottom w:w="100" w:type="dxa"/>
              <w:right w:w="100" w:type="dxa"/>
            </w:tcMar>
          </w:tcPr>
          <w:p w:rsidR="009A0FC1" w:rsidRDefault="004D1221">
            <w:pPr>
              <w:widowControl w:val="0"/>
              <w:jc w:val="center"/>
              <w:rPr>
                <w:color w:val="FFFFFF"/>
                <w:sz w:val="24"/>
                <w:szCs w:val="24"/>
              </w:rPr>
            </w:pPr>
            <w:r>
              <w:rPr>
                <w:b/>
                <w:color w:val="FFFFFF"/>
                <w:sz w:val="24"/>
                <w:szCs w:val="24"/>
              </w:rPr>
              <w:t>Our Strategy</w:t>
            </w:r>
            <w:r>
              <w:rPr>
                <w:color w:val="FFFFFF"/>
                <w:sz w:val="24"/>
                <w:szCs w:val="24"/>
              </w:rPr>
              <w:t xml:space="preserve"> </w:t>
            </w:r>
          </w:p>
          <w:p w:rsidR="009A0FC1" w:rsidRDefault="004D1221">
            <w:pPr>
              <w:widowControl w:val="0"/>
              <w:jc w:val="center"/>
              <w:rPr>
                <w:b/>
                <w:color w:val="FFFFFF"/>
              </w:rPr>
            </w:pPr>
            <w:r>
              <w:rPr>
                <w:color w:val="FFFFFF"/>
                <w:sz w:val="20"/>
                <w:szCs w:val="20"/>
              </w:rPr>
              <w:t>The overall approach you’ll take if the scenario comes true</w:t>
            </w:r>
          </w:p>
        </w:tc>
      </w:tr>
      <w:tr w:rsidR="009A0FC1">
        <w:trPr>
          <w:trHeight w:val="1695"/>
        </w:trPr>
        <w:tc>
          <w:tcPr>
            <w:tcW w:w="7185" w:type="dxa"/>
            <w:shd w:val="clear" w:color="auto" w:fill="auto"/>
            <w:tcMar>
              <w:top w:w="100" w:type="dxa"/>
              <w:left w:w="100" w:type="dxa"/>
              <w:bottom w:w="100" w:type="dxa"/>
              <w:right w:w="100" w:type="dxa"/>
            </w:tcMar>
          </w:tcPr>
          <w:p w:rsidR="009A0FC1" w:rsidRDefault="004D1221">
            <w:pPr>
              <w:widowControl w:val="0"/>
              <w:rPr>
                <w:b/>
              </w:rPr>
            </w:pPr>
            <w:r>
              <w:rPr>
                <w:i/>
              </w:rPr>
              <w:t>Copy and paste the scenario name and scenario summary from the “Constructing the Scenarios” page here.</w:t>
            </w:r>
          </w:p>
        </w:tc>
        <w:tc>
          <w:tcPr>
            <w:tcW w:w="7170" w:type="dxa"/>
            <w:shd w:val="clear" w:color="auto" w:fill="auto"/>
            <w:tcMar>
              <w:top w:w="100" w:type="dxa"/>
              <w:left w:w="100" w:type="dxa"/>
              <w:bottom w:w="100" w:type="dxa"/>
              <w:right w:w="100" w:type="dxa"/>
            </w:tcMar>
          </w:tcPr>
          <w:p w:rsidR="009A0FC1" w:rsidRDefault="009A0FC1">
            <w:pPr>
              <w:widowControl w:val="0"/>
              <w:pBdr>
                <w:top w:val="nil"/>
                <w:left w:val="nil"/>
                <w:bottom w:val="nil"/>
                <w:right w:val="nil"/>
                <w:between w:val="nil"/>
              </w:pBdr>
              <w:rPr>
                <w:b/>
              </w:rPr>
            </w:pPr>
          </w:p>
        </w:tc>
      </w:tr>
      <w:tr w:rsidR="009A0FC1">
        <w:trPr>
          <w:trHeight w:val="345"/>
        </w:trPr>
        <w:tc>
          <w:tcPr>
            <w:tcW w:w="7185" w:type="dxa"/>
            <w:shd w:val="clear" w:color="auto" w:fill="802144"/>
            <w:tcMar>
              <w:top w:w="100" w:type="dxa"/>
              <w:left w:w="100" w:type="dxa"/>
              <w:bottom w:w="100" w:type="dxa"/>
              <w:right w:w="100" w:type="dxa"/>
            </w:tcMar>
          </w:tcPr>
          <w:p w:rsidR="009A0FC1" w:rsidRDefault="004D1221">
            <w:pPr>
              <w:widowControl w:val="0"/>
              <w:jc w:val="center"/>
              <w:rPr>
                <w:b/>
                <w:color w:val="FFFFFF"/>
                <w:sz w:val="24"/>
                <w:szCs w:val="24"/>
              </w:rPr>
            </w:pPr>
            <w:r>
              <w:rPr>
                <w:b/>
                <w:color w:val="FFFFFF"/>
                <w:sz w:val="24"/>
                <w:szCs w:val="24"/>
              </w:rPr>
              <w:t xml:space="preserve">Immediate Next Steps, Timelines, &amp; Owners </w:t>
            </w:r>
          </w:p>
          <w:p w:rsidR="009A0FC1" w:rsidRDefault="004D1221">
            <w:pPr>
              <w:widowControl w:val="0"/>
              <w:jc w:val="center"/>
              <w:rPr>
                <w:b/>
                <w:color w:val="FFFFFF"/>
              </w:rPr>
            </w:pPr>
            <w:r>
              <w:rPr>
                <w:color w:val="FFFFFF"/>
                <w:sz w:val="20"/>
                <w:szCs w:val="20"/>
              </w:rPr>
              <w:t>List the actions you’ll take to pursue the strategy. These could be “no regrets” moves, options to buy you time, and/or innovative ideas you want to try out</w:t>
            </w:r>
          </w:p>
        </w:tc>
        <w:tc>
          <w:tcPr>
            <w:tcW w:w="7170" w:type="dxa"/>
            <w:shd w:val="clear" w:color="auto" w:fill="802144"/>
            <w:tcMar>
              <w:top w:w="100" w:type="dxa"/>
              <w:left w:w="100" w:type="dxa"/>
              <w:bottom w:w="100" w:type="dxa"/>
              <w:right w:w="100" w:type="dxa"/>
            </w:tcMar>
          </w:tcPr>
          <w:p w:rsidR="009A0FC1" w:rsidRDefault="004D1221">
            <w:pPr>
              <w:widowControl w:val="0"/>
              <w:jc w:val="center"/>
              <w:rPr>
                <w:color w:val="FFFFFF"/>
                <w:sz w:val="24"/>
                <w:szCs w:val="24"/>
              </w:rPr>
            </w:pPr>
            <w:r>
              <w:rPr>
                <w:b/>
                <w:color w:val="FFFFFF"/>
                <w:sz w:val="24"/>
                <w:szCs w:val="24"/>
              </w:rPr>
              <w:t xml:space="preserve">Ideas for Future Consideration </w:t>
            </w:r>
          </w:p>
          <w:p w:rsidR="009A0FC1" w:rsidRDefault="004D1221">
            <w:pPr>
              <w:widowControl w:val="0"/>
              <w:jc w:val="center"/>
              <w:rPr>
                <w:b/>
                <w:color w:val="FFFFFF"/>
              </w:rPr>
            </w:pPr>
            <w:r>
              <w:rPr>
                <w:color w:val="FFFFFF"/>
                <w:sz w:val="20"/>
                <w:szCs w:val="20"/>
              </w:rPr>
              <w:t>Keep track of things you want to do eventually as the scenario beco</w:t>
            </w:r>
            <w:r>
              <w:rPr>
                <w:color w:val="FFFFFF"/>
                <w:sz w:val="20"/>
                <w:szCs w:val="20"/>
              </w:rPr>
              <w:t>mes more likely to happen. You can also use this section as a parking lot for ideas.</w:t>
            </w:r>
          </w:p>
        </w:tc>
      </w:tr>
      <w:tr w:rsidR="009A0FC1">
        <w:trPr>
          <w:trHeight w:val="1695"/>
        </w:trPr>
        <w:tc>
          <w:tcPr>
            <w:tcW w:w="7185" w:type="dxa"/>
            <w:shd w:val="clear" w:color="auto" w:fill="auto"/>
            <w:tcMar>
              <w:top w:w="100" w:type="dxa"/>
              <w:left w:w="100" w:type="dxa"/>
              <w:bottom w:w="100" w:type="dxa"/>
              <w:right w:w="100" w:type="dxa"/>
            </w:tcMar>
          </w:tcPr>
          <w:p w:rsidR="009A0FC1" w:rsidRDefault="009A0FC1">
            <w:pPr>
              <w:widowControl w:val="0"/>
              <w:rPr>
                <w:b/>
              </w:rPr>
            </w:pPr>
          </w:p>
        </w:tc>
        <w:tc>
          <w:tcPr>
            <w:tcW w:w="7170" w:type="dxa"/>
            <w:shd w:val="clear" w:color="auto" w:fill="auto"/>
            <w:tcMar>
              <w:top w:w="100" w:type="dxa"/>
              <w:left w:w="100" w:type="dxa"/>
              <w:bottom w:w="100" w:type="dxa"/>
              <w:right w:w="100" w:type="dxa"/>
            </w:tcMar>
          </w:tcPr>
          <w:p w:rsidR="009A0FC1" w:rsidRDefault="009A0FC1">
            <w:pPr>
              <w:widowControl w:val="0"/>
              <w:rPr>
                <w:b/>
              </w:rPr>
            </w:pPr>
          </w:p>
        </w:tc>
      </w:tr>
      <w:tr w:rsidR="009A0FC1">
        <w:trPr>
          <w:trHeight w:val="495"/>
        </w:trPr>
        <w:tc>
          <w:tcPr>
            <w:tcW w:w="14355" w:type="dxa"/>
            <w:gridSpan w:val="2"/>
            <w:shd w:val="clear" w:color="auto" w:fill="802144"/>
            <w:tcMar>
              <w:top w:w="100" w:type="dxa"/>
              <w:left w:w="100" w:type="dxa"/>
              <w:bottom w:w="100" w:type="dxa"/>
              <w:right w:w="100" w:type="dxa"/>
            </w:tcMar>
          </w:tcPr>
          <w:p w:rsidR="009A0FC1" w:rsidRDefault="004D1221">
            <w:pPr>
              <w:widowControl w:val="0"/>
              <w:ind w:left="720"/>
              <w:jc w:val="center"/>
              <w:rPr>
                <w:b/>
                <w:color w:val="FFFFFF"/>
                <w:sz w:val="24"/>
                <w:szCs w:val="24"/>
              </w:rPr>
            </w:pPr>
            <w:r>
              <w:rPr>
                <w:b/>
                <w:color w:val="FFFFFF"/>
                <w:sz w:val="24"/>
                <w:szCs w:val="24"/>
              </w:rPr>
              <w:t xml:space="preserve">Indicators to Track (and Owners) </w:t>
            </w:r>
          </w:p>
          <w:p w:rsidR="009A0FC1" w:rsidRDefault="004D1221">
            <w:pPr>
              <w:widowControl w:val="0"/>
              <w:jc w:val="center"/>
              <w:rPr>
                <w:b/>
                <w:color w:val="FFFFFF"/>
              </w:rPr>
            </w:pPr>
            <w:r>
              <w:rPr>
                <w:color w:val="FFFFFF"/>
                <w:sz w:val="20"/>
                <w:szCs w:val="20"/>
              </w:rPr>
              <w:t>Note metrics to track. These could be</w:t>
            </w:r>
            <w:r>
              <w:rPr>
                <w:color w:val="FFFFFF"/>
                <w:sz w:val="20"/>
                <w:szCs w:val="20"/>
              </w:rPr>
              <w:t xml:space="preserve"> metrics that indicate if a scenario is coming true and/or that help you see if the steps you’ve taken so far are successful.</w:t>
            </w:r>
          </w:p>
        </w:tc>
      </w:tr>
      <w:tr w:rsidR="009A0FC1">
        <w:trPr>
          <w:trHeight w:val="1695"/>
        </w:trPr>
        <w:tc>
          <w:tcPr>
            <w:tcW w:w="14355" w:type="dxa"/>
            <w:gridSpan w:val="2"/>
            <w:shd w:val="clear" w:color="auto" w:fill="auto"/>
            <w:tcMar>
              <w:top w:w="100" w:type="dxa"/>
              <w:left w:w="100" w:type="dxa"/>
              <w:bottom w:w="100" w:type="dxa"/>
              <w:right w:w="100" w:type="dxa"/>
            </w:tcMar>
          </w:tcPr>
          <w:p w:rsidR="009A0FC1" w:rsidRDefault="009A0FC1">
            <w:pPr>
              <w:widowControl w:val="0"/>
              <w:rPr>
                <w:b/>
              </w:rPr>
            </w:pPr>
          </w:p>
        </w:tc>
      </w:tr>
    </w:tbl>
    <w:p w:rsidR="009A0FC1" w:rsidRDefault="009A0FC1">
      <w:pPr>
        <w:pStyle w:val="Heading1"/>
        <w:jc w:val="center"/>
        <w:rPr>
          <w:sz w:val="36"/>
          <w:szCs w:val="36"/>
        </w:rPr>
      </w:pPr>
      <w:bookmarkStart w:id="4" w:name="_96si9xidhoah" w:colFirst="0" w:colLast="0"/>
      <w:bookmarkEnd w:id="4"/>
    </w:p>
    <w:p w:rsidR="009A0FC1" w:rsidRDefault="009A0FC1">
      <w:pPr>
        <w:pStyle w:val="Heading1"/>
        <w:jc w:val="center"/>
        <w:rPr>
          <w:sz w:val="36"/>
          <w:szCs w:val="36"/>
        </w:rPr>
      </w:pPr>
      <w:bookmarkStart w:id="5" w:name="_xht21v9hblvr" w:colFirst="0" w:colLast="0"/>
      <w:bookmarkEnd w:id="5"/>
    </w:p>
    <w:p w:rsidR="009A0FC1" w:rsidRDefault="004D1221">
      <w:pPr>
        <w:pStyle w:val="Heading1"/>
        <w:rPr>
          <w:sz w:val="36"/>
          <w:szCs w:val="36"/>
        </w:rPr>
      </w:pPr>
      <w:bookmarkStart w:id="6" w:name="_5qj0akrt8omf" w:colFirst="0" w:colLast="0"/>
      <w:bookmarkEnd w:id="6"/>
      <w:r>
        <w:br w:type="page"/>
      </w:r>
    </w:p>
    <w:p w:rsidR="009A0FC1" w:rsidRDefault="004D1221">
      <w:pPr>
        <w:pStyle w:val="Heading1"/>
        <w:jc w:val="center"/>
        <w:rPr>
          <w:sz w:val="36"/>
          <w:szCs w:val="36"/>
        </w:rPr>
      </w:pPr>
      <w:bookmarkStart w:id="7" w:name="_yy4m2ppmtwm1" w:colFirst="0" w:colLast="0"/>
      <w:bookmarkEnd w:id="7"/>
      <w:r>
        <w:rPr>
          <w:sz w:val="36"/>
          <w:szCs w:val="36"/>
        </w:rPr>
        <w:lastRenderedPageBreak/>
        <w:t>The 5-Box Scenario Planning Tool Sample</w:t>
      </w:r>
    </w:p>
    <w:p w:rsidR="009A0FC1" w:rsidRDefault="004D1221">
      <w:pPr>
        <w:rPr>
          <w:highlight w:val="white"/>
        </w:rPr>
      </w:pPr>
      <w:r>
        <w:rPr>
          <w:highlight w:val="white"/>
        </w:rPr>
        <w:t>IRN (Immigrants Rights Now) is an organization whose mission is to build support for comprehensive immigration reform by bringing awareness of immigrants' issues to the general public. It has 40 paid staff (with 80% identifying as BIPOC) and over 100 volun</w:t>
      </w:r>
      <w:r>
        <w:rPr>
          <w:highlight w:val="white"/>
        </w:rPr>
        <w:t>teers with operations in 10 states. Volunteers are mostly youth of color who are undocumented and/or have undocumented family members. IRN organizes "Days of Action”—mass protests at key sites to highlight the injustices and inequities in the US immigratio</w:t>
      </w:r>
      <w:r>
        <w:rPr>
          <w:highlight w:val="white"/>
        </w:rPr>
        <w:t>n system. 50% of its revenue comes from grants and the other 50% from small donations raised around each Day of Action. Their original goal had them holding 100 days of action across the 10 states in 2020.</w:t>
      </w:r>
    </w:p>
    <w:p w:rsidR="009A0FC1" w:rsidRDefault="004D1221">
      <w:pPr>
        <w:pStyle w:val="Heading1"/>
      </w:pPr>
      <w:bookmarkStart w:id="8" w:name="_syy9w1lbza9v" w:colFirst="0" w:colLast="0"/>
      <w:bookmarkEnd w:id="8"/>
      <w:r>
        <w:t>Step 1. Construct the Scenarios</w:t>
      </w:r>
    </w:p>
    <w:tbl>
      <w:tblPr>
        <w:tblStyle w:val="a1"/>
        <w:tblW w:w="1456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4170"/>
        <w:gridCol w:w="3705"/>
        <w:gridCol w:w="4080"/>
      </w:tblGrid>
      <w:tr w:rsidR="009A0FC1">
        <w:tc>
          <w:tcPr>
            <w:tcW w:w="2610" w:type="dxa"/>
            <w:shd w:val="clear" w:color="auto" w:fill="802144"/>
            <w:tcMar>
              <w:top w:w="100" w:type="dxa"/>
              <w:left w:w="100" w:type="dxa"/>
              <w:bottom w:w="100" w:type="dxa"/>
              <w:right w:w="100" w:type="dxa"/>
            </w:tcMar>
          </w:tcPr>
          <w:p w:rsidR="009A0FC1" w:rsidRDefault="004D1221">
            <w:pPr>
              <w:widowControl w:val="0"/>
              <w:rPr>
                <w:color w:val="FFFFFF"/>
                <w:shd w:val="clear" w:color="auto" w:fill="802144"/>
              </w:rPr>
            </w:pPr>
            <w:r>
              <w:rPr>
                <w:b/>
                <w:color w:val="FFFFFF"/>
                <w:shd w:val="clear" w:color="auto" w:fill="802144"/>
              </w:rPr>
              <w:t xml:space="preserve">Assumptions </w:t>
            </w:r>
            <w:r>
              <w:rPr>
                <w:rFonts w:ascii="Arial Unicode MS" w:eastAsia="Arial Unicode MS" w:hAnsi="Arial Unicode MS" w:cs="Arial Unicode MS"/>
                <w:color w:val="FFFFFF"/>
                <w:shd w:val="clear" w:color="auto" w:fill="802144"/>
              </w:rPr>
              <w:t>↓</w:t>
            </w:r>
          </w:p>
        </w:tc>
        <w:tc>
          <w:tcPr>
            <w:tcW w:w="4170" w:type="dxa"/>
            <w:shd w:val="clear" w:color="auto" w:fill="802144"/>
            <w:tcMar>
              <w:top w:w="100" w:type="dxa"/>
              <w:left w:w="100" w:type="dxa"/>
              <w:bottom w:w="100" w:type="dxa"/>
              <w:right w:w="100" w:type="dxa"/>
            </w:tcMar>
          </w:tcPr>
          <w:p w:rsidR="009A0FC1" w:rsidRDefault="004D1221">
            <w:pPr>
              <w:widowControl w:val="0"/>
              <w:rPr>
                <w:b/>
                <w:color w:val="FFFFFF"/>
                <w:shd w:val="clear" w:color="auto" w:fill="802144"/>
              </w:rPr>
            </w:pPr>
            <w:r>
              <w:rPr>
                <w:b/>
                <w:color w:val="FFFFFF"/>
                <w:shd w:val="clear" w:color="auto" w:fill="802144"/>
              </w:rPr>
              <w:t xml:space="preserve">Scenario A: Optimistic </w:t>
            </w:r>
          </w:p>
        </w:tc>
        <w:tc>
          <w:tcPr>
            <w:tcW w:w="3705" w:type="dxa"/>
            <w:shd w:val="clear" w:color="auto" w:fill="802144"/>
            <w:tcMar>
              <w:top w:w="100" w:type="dxa"/>
              <w:left w:w="100" w:type="dxa"/>
              <w:bottom w:w="100" w:type="dxa"/>
              <w:right w:w="100" w:type="dxa"/>
            </w:tcMar>
          </w:tcPr>
          <w:p w:rsidR="009A0FC1" w:rsidRDefault="004D1221">
            <w:pPr>
              <w:widowControl w:val="0"/>
              <w:rPr>
                <w:b/>
                <w:color w:val="FFFFFF"/>
                <w:shd w:val="clear" w:color="auto" w:fill="802144"/>
              </w:rPr>
            </w:pPr>
            <w:r>
              <w:rPr>
                <w:b/>
                <w:color w:val="FFFFFF"/>
                <w:shd w:val="clear" w:color="auto" w:fill="802144"/>
              </w:rPr>
              <w:t>Scenario B: Most Likely</w:t>
            </w:r>
          </w:p>
        </w:tc>
        <w:tc>
          <w:tcPr>
            <w:tcW w:w="4080" w:type="dxa"/>
            <w:shd w:val="clear" w:color="auto" w:fill="802144"/>
            <w:tcMar>
              <w:top w:w="100" w:type="dxa"/>
              <w:left w:w="100" w:type="dxa"/>
              <w:bottom w:w="100" w:type="dxa"/>
              <w:right w:w="100" w:type="dxa"/>
            </w:tcMar>
          </w:tcPr>
          <w:p w:rsidR="009A0FC1" w:rsidRDefault="004D1221">
            <w:pPr>
              <w:widowControl w:val="0"/>
              <w:rPr>
                <w:b/>
                <w:color w:val="FFFFFF"/>
                <w:shd w:val="clear" w:color="auto" w:fill="802144"/>
              </w:rPr>
            </w:pPr>
            <w:r>
              <w:rPr>
                <w:b/>
                <w:color w:val="FFFFFF"/>
                <w:shd w:val="clear" w:color="auto" w:fill="802144"/>
              </w:rPr>
              <w:t>Scenario C: Pessimistic</w:t>
            </w:r>
          </w:p>
        </w:tc>
      </w:tr>
      <w:tr w:rsidR="009A0FC1">
        <w:trPr>
          <w:trHeight w:val="1695"/>
        </w:trPr>
        <w:tc>
          <w:tcPr>
            <w:tcW w:w="2610" w:type="dxa"/>
            <w:shd w:val="clear" w:color="auto" w:fill="auto"/>
            <w:tcMar>
              <w:top w:w="100" w:type="dxa"/>
              <w:left w:w="100" w:type="dxa"/>
              <w:bottom w:w="100" w:type="dxa"/>
              <w:right w:w="100" w:type="dxa"/>
            </w:tcMar>
          </w:tcPr>
          <w:p w:rsidR="009A0FC1" w:rsidRDefault="004D1221">
            <w:pPr>
              <w:widowControl w:val="0"/>
            </w:pPr>
            <w:r>
              <w:rPr>
                <w:b/>
              </w:rPr>
              <w:t>Key Assumption</w:t>
            </w:r>
          </w:p>
          <w:p w:rsidR="009A0FC1" w:rsidRDefault="004D1221">
            <w:pPr>
              <w:widowControl w:val="0"/>
            </w:pPr>
            <w:r>
              <w:t>Timing: When do we think the restrictions resulting from the pandemic will end?</w:t>
            </w:r>
          </w:p>
        </w:tc>
        <w:tc>
          <w:tcPr>
            <w:tcW w:w="4170" w:type="dxa"/>
            <w:shd w:val="clear" w:color="auto" w:fill="auto"/>
            <w:tcMar>
              <w:top w:w="100" w:type="dxa"/>
              <w:left w:w="100" w:type="dxa"/>
              <w:bottom w:w="100" w:type="dxa"/>
              <w:right w:w="100" w:type="dxa"/>
            </w:tcMar>
          </w:tcPr>
          <w:p w:rsidR="009A0FC1" w:rsidRDefault="004D1221">
            <w:pPr>
              <w:widowControl w:val="0"/>
            </w:pPr>
            <w:r>
              <w:rPr>
                <w:highlight w:val="white"/>
              </w:rPr>
              <w:t>New case counts in the US rise until April; growth in cases halted through social distan</w:t>
            </w:r>
            <w:r>
              <w:rPr>
                <w:highlight w:val="white"/>
              </w:rPr>
              <w:t>cing, travel restrictions, etc. Unemployment rate drops by June. Quick V-shaped recovery through summer.</w:t>
            </w:r>
          </w:p>
        </w:tc>
        <w:tc>
          <w:tcPr>
            <w:tcW w:w="3705" w:type="dxa"/>
            <w:shd w:val="clear" w:color="auto" w:fill="auto"/>
            <w:tcMar>
              <w:top w:w="100" w:type="dxa"/>
              <w:left w:w="100" w:type="dxa"/>
              <w:bottom w:w="100" w:type="dxa"/>
              <w:right w:w="100" w:type="dxa"/>
            </w:tcMar>
          </w:tcPr>
          <w:p w:rsidR="009A0FC1" w:rsidRDefault="004D1221">
            <w:pPr>
              <w:widowControl w:val="0"/>
            </w:pPr>
            <w:r>
              <w:t>Epidemic peaks in May in the US; cases slow through social distancing, travel restrictions, etc. Public more optimistic by June-July. Recession through</w:t>
            </w:r>
            <w:r>
              <w:t xml:space="preserve"> Q3.</w:t>
            </w:r>
          </w:p>
        </w:tc>
        <w:tc>
          <w:tcPr>
            <w:tcW w:w="4080" w:type="dxa"/>
            <w:shd w:val="clear" w:color="auto" w:fill="auto"/>
            <w:tcMar>
              <w:top w:w="100" w:type="dxa"/>
              <w:left w:w="100" w:type="dxa"/>
              <w:bottom w:w="100" w:type="dxa"/>
              <w:right w:w="100" w:type="dxa"/>
            </w:tcMar>
          </w:tcPr>
          <w:p w:rsidR="009A0FC1" w:rsidRDefault="004D1221">
            <w:pPr>
              <w:widowControl w:val="0"/>
            </w:pPr>
            <w:r>
              <w:t>Epidemic peaks in the U.S.in May-June due to delayed testing and weak social distancing. Rolling peaks across the country. Prolonged recession, layoffs, bankruptcies, and massive unemployment.</w:t>
            </w:r>
          </w:p>
        </w:tc>
      </w:tr>
      <w:tr w:rsidR="009A0FC1">
        <w:trPr>
          <w:trHeight w:val="1005"/>
        </w:trPr>
        <w:tc>
          <w:tcPr>
            <w:tcW w:w="2610" w:type="dxa"/>
            <w:shd w:val="clear" w:color="auto" w:fill="auto"/>
            <w:tcMar>
              <w:top w:w="100" w:type="dxa"/>
              <w:left w:w="100" w:type="dxa"/>
              <w:bottom w:w="100" w:type="dxa"/>
              <w:right w:w="100" w:type="dxa"/>
            </w:tcMar>
          </w:tcPr>
          <w:p w:rsidR="009A0FC1" w:rsidRDefault="004D1221">
            <w:pPr>
              <w:widowControl w:val="0"/>
            </w:pPr>
            <w:r>
              <w:rPr>
                <w:b/>
              </w:rPr>
              <w:t>Programmatic Impact:</w:t>
            </w:r>
            <w:r>
              <w:t xml:space="preserve"> How deeply would our programs be impacted (and how)? </w:t>
            </w:r>
          </w:p>
        </w:tc>
        <w:tc>
          <w:tcPr>
            <w:tcW w:w="4170" w:type="dxa"/>
            <w:shd w:val="clear" w:color="auto" w:fill="auto"/>
            <w:tcMar>
              <w:top w:w="100" w:type="dxa"/>
              <w:left w:w="100" w:type="dxa"/>
              <w:bottom w:w="100" w:type="dxa"/>
              <w:right w:w="100" w:type="dxa"/>
            </w:tcMar>
          </w:tcPr>
          <w:p w:rsidR="009A0FC1" w:rsidRDefault="004D1221">
            <w:pPr>
              <w:widowControl w:val="0"/>
            </w:pPr>
            <w:r>
              <w:rPr>
                <w:highlight w:val="white"/>
              </w:rPr>
              <w:t xml:space="preserve">Minor Impact: We have to cancel 20% of Days of Action protests (April through June). </w:t>
            </w:r>
          </w:p>
        </w:tc>
        <w:tc>
          <w:tcPr>
            <w:tcW w:w="3705" w:type="dxa"/>
            <w:shd w:val="clear" w:color="auto" w:fill="auto"/>
            <w:tcMar>
              <w:top w:w="100" w:type="dxa"/>
              <w:left w:w="100" w:type="dxa"/>
              <w:bottom w:w="100" w:type="dxa"/>
              <w:right w:w="100" w:type="dxa"/>
            </w:tcMar>
          </w:tcPr>
          <w:p w:rsidR="009A0FC1" w:rsidRDefault="004D1221">
            <w:pPr>
              <w:widowControl w:val="0"/>
            </w:pPr>
            <w:r>
              <w:t xml:space="preserve">Medium Impact: We have to cancel 50-60% of Days of Action (Apr through Sept.). </w:t>
            </w:r>
          </w:p>
        </w:tc>
        <w:tc>
          <w:tcPr>
            <w:tcW w:w="4080" w:type="dxa"/>
            <w:shd w:val="clear" w:color="auto" w:fill="auto"/>
            <w:tcMar>
              <w:top w:w="100" w:type="dxa"/>
              <w:left w:w="100" w:type="dxa"/>
              <w:bottom w:w="100" w:type="dxa"/>
              <w:right w:w="100" w:type="dxa"/>
            </w:tcMar>
          </w:tcPr>
          <w:p w:rsidR="009A0FC1" w:rsidRDefault="004D1221">
            <w:pPr>
              <w:widowControl w:val="0"/>
            </w:pPr>
            <w:r>
              <w:t xml:space="preserve">High Impact: We have to cancel all </w:t>
            </w:r>
            <w:r>
              <w:t xml:space="preserve">in-person protests through the end of the year. </w:t>
            </w:r>
          </w:p>
        </w:tc>
      </w:tr>
      <w:tr w:rsidR="009A0FC1">
        <w:trPr>
          <w:trHeight w:val="765"/>
        </w:trPr>
        <w:tc>
          <w:tcPr>
            <w:tcW w:w="2610" w:type="dxa"/>
            <w:shd w:val="clear" w:color="auto" w:fill="auto"/>
            <w:tcMar>
              <w:top w:w="100" w:type="dxa"/>
              <w:left w:w="100" w:type="dxa"/>
              <w:bottom w:w="100" w:type="dxa"/>
              <w:right w:w="100" w:type="dxa"/>
            </w:tcMar>
          </w:tcPr>
          <w:p w:rsidR="009A0FC1" w:rsidRDefault="004D1221">
            <w:pPr>
              <w:widowControl w:val="0"/>
              <w:rPr>
                <w:i/>
              </w:rPr>
            </w:pPr>
            <w:r>
              <w:rPr>
                <w:b/>
              </w:rPr>
              <w:t>Financial Impact:</w:t>
            </w:r>
            <w:r>
              <w:rPr>
                <w:i/>
              </w:rPr>
              <w:t xml:space="preserve"> </w:t>
            </w:r>
            <w:r>
              <w:t>How will our finances (especially revenues) be impacted?</w:t>
            </w:r>
          </w:p>
        </w:tc>
        <w:tc>
          <w:tcPr>
            <w:tcW w:w="4170" w:type="dxa"/>
            <w:shd w:val="clear" w:color="auto" w:fill="auto"/>
            <w:tcMar>
              <w:top w:w="100" w:type="dxa"/>
              <w:left w:w="100" w:type="dxa"/>
              <w:bottom w:w="100" w:type="dxa"/>
              <w:right w:w="100" w:type="dxa"/>
            </w:tcMar>
          </w:tcPr>
          <w:p w:rsidR="009A0FC1" w:rsidRDefault="004D1221">
            <w:pPr>
              <w:widowControl w:val="0"/>
            </w:pPr>
            <w:r>
              <w:rPr>
                <w:highlight w:val="white"/>
              </w:rPr>
              <w:t>Lose $3M in revenue raised; No loss of major donors expected.</w:t>
            </w:r>
          </w:p>
        </w:tc>
        <w:tc>
          <w:tcPr>
            <w:tcW w:w="3705" w:type="dxa"/>
            <w:shd w:val="clear" w:color="auto" w:fill="auto"/>
            <w:tcMar>
              <w:top w:w="100" w:type="dxa"/>
              <w:left w:w="100" w:type="dxa"/>
              <w:bottom w:w="100" w:type="dxa"/>
              <w:right w:w="100" w:type="dxa"/>
            </w:tcMar>
          </w:tcPr>
          <w:p w:rsidR="009A0FC1" w:rsidRDefault="004D1221">
            <w:pPr>
              <w:widowControl w:val="0"/>
            </w:pPr>
            <w:r>
              <w:t>Lose 70% of small-donor revenue; Expect to lose 20% of major donors.</w:t>
            </w:r>
          </w:p>
        </w:tc>
        <w:tc>
          <w:tcPr>
            <w:tcW w:w="4080" w:type="dxa"/>
            <w:shd w:val="clear" w:color="auto" w:fill="auto"/>
            <w:tcMar>
              <w:top w:w="100" w:type="dxa"/>
              <w:left w:w="100" w:type="dxa"/>
              <w:bottom w:w="100" w:type="dxa"/>
              <w:right w:w="100" w:type="dxa"/>
            </w:tcMar>
          </w:tcPr>
          <w:p w:rsidR="009A0FC1" w:rsidRDefault="004D1221">
            <w:pPr>
              <w:widowControl w:val="0"/>
            </w:pPr>
            <w:r>
              <w:t>Lose 90% of small-donor revenue. Expect to lose 40% of major donors.</w:t>
            </w:r>
          </w:p>
        </w:tc>
      </w:tr>
      <w:tr w:rsidR="009A0FC1">
        <w:trPr>
          <w:trHeight w:val="1050"/>
        </w:trPr>
        <w:tc>
          <w:tcPr>
            <w:tcW w:w="2610" w:type="dxa"/>
            <w:shd w:val="clear" w:color="auto" w:fill="auto"/>
            <w:tcMar>
              <w:top w:w="100" w:type="dxa"/>
              <w:left w:w="100" w:type="dxa"/>
              <w:bottom w:w="100" w:type="dxa"/>
              <w:right w:w="100" w:type="dxa"/>
            </w:tcMar>
          </w:tcPr>
          <w:p w:rsidR="009A0FC1" w:rsidRDefault="004D1221">
            <w:pPr>
              <w:widowControl w:val="0"/>
              <w:rPr>
                <w:i/>
              </w:rPr>
            </w:pPr>
            <w:r>
              <w:rPr>
                <w:b/>
              </w:rPr>
              <w:t xml:space="preserve">People Impact: </w:t>
            </w:r>
            <w:r>
              <w:t>How would this impact our staff, volunteers, clients, partners, other stakeholders?</w:t>
            </w:r>
            <w:r>
              <w:rPr>
                <w:i/>
              </w:rPr>
              <w:t xml:space="preserve"> </w:t>
            </w:r>
          </w:p>
        </w:tc>
        <w:tc>
          <w:tcPr>
            <w:tcW w:w="4170" w:type="dxa"/>
            <w:shd w:val="clear" w:color="auto" w:fill="auto"/>
            <w:tcMar>
              <w:top w:w="100" w:type="dxa"/>
              <w:left w:w="100" w:type="dxa"/>
              <w:bottom w:w="100" w:type="dxa"/>
              <w:right w:w="100" w:type="dxa"/>
            </w:tcMar>
          </w:tcPr>
          <w:p w:rsidR="009A0FC1" w:rsidRDefault="004D1221">
            <w:pPr>
              <w:widowControl w:val="0"/>
            </w:pPr>
            <w:r>
              <w:t>Reduction in volunteer engagement as events are canceled.</w:t>
            </w:r>
          </w:p>
        </w:tc>
        <w:tc>
          <w:tcPr>
            <w:tcW w:w="7785" w:type="dxa"/>
            <w:gridSpan w:val="2"/>
            <w:shd w:val="clear" w:color="auto" w:fill="auto"/>
            <w:tcMar>
              <w:top w:w="100" w:type="dxa"/>
              <w:left w:w="100" w:type="dxa"/>
              <w:bottom w:w="100" w:type="dxa"/>
              <w:right w:w="100" w:type="dxa"/>
            </w:tcMar>
          </w:tcPr>
          <w:p w:rsidR="009A0FC1" w:rsidRDefault="004D1221">
            <w:pPr>
              <w:widowControl w:val="0"/>
            </w:pPr>
            <w:r>
              <w:t>We will see significant drop</w:t>
            </w:r>
            <w:r>
              <w:t>-off in volunteer engagement and community support. Heightened emotional toll as the Days of Action that serve to empower and energize staff and volunteers get canceled.</w:t>
            </w:r>
          </w:p>
        </w:tc>
      </w:tr>
      <w:tr w:rsidR="009A0FC1">
        <w:tc>
          <w:tcPr>
            <w:tcW w:w="2610" w:type="dxa"/>
            <w:shd w:val="clear" w:color="auto" w:fill="auto"/>
            <w:tcMar>
              <w:top w:w="100" w:type="dxa"/>
              <w:left w:w="100" w:type="dxa"/>
              <w:bottom w:w="100" w:type="dxa"/>
              <w:right w:w="100" w:type="dxa"/>
            </w:tcMar>
            <w:vAlign w:val="center"/>
          </w:tcPr>
          <w:p w:rsidR="009A0FC1" w:rsidRDefault="004D1221">
            <w:pPr>
              <w:widowControl w:val="0"/>
              <w:rPr>
                <w:b/>
              </w:rPr>
            </w:pPr>
            <w:r>
              <w:rPr>
                <w:b/>
              </w:rPr>
              <w:t xml:space="preserve">Scenario Summary </w:t>
            </w:r>
            <w:r>
              <w:rPr>
                <w:rFonts w:ascii="Arial Unicode MS" w:eastAsia="Arial Unicode MS" w:hAnsi="Arial Unicode MS" w:cs="Arial Unicode MS"/>
              </w:rPr>
              <w:t>→</w:t>
            </w:r>
            <w:r>
              <w:rPr>
                <w:b/>
              </w:rPr>
              <w:t xml:space="preserve"> </w:t>
            </w:r>
          </w:p>
        </w:tc>
        <w:tc>
          <w:tcPr>
            <w:tcW w:w="4170" w:type="dxa"/>
            <w:shd w:val="clear" w:color="auto" w:fill="auto"/>
            <w:tcMar>
              <w:top w:w="100" w:type="dxa"/>
              <w:left w:w="100" w:type="dxa"/>
              <w:bottom w:w="100" w:type="dxa"/>
              <w:right w:w="100" w:type="dxa"/>
            </w:tcMar>
          </w:tcPr>
          <w:p w:rsidR="009A0FC1" w:rsidRDefault="004D1221">
            <w:pPr>
              <w:widowControl w:val="0"/>
            </w:pPr>
            <w:r>
              <w:t xml:space="preserve">As the curve of the pandemic quickly flattens, the economy will see a V-shaped recovery. We expect a return to normal by June. We have to cancel Days of Action scheduled for the spring with a 15% drop in 2020 revenue, but no </w:t>
            </w:r>
            <w:r>
              <w:lastRenderedPageBreak/>
              <w:t>major long-term damage to the o</w:t>
            </w:r>
            <w:r>
              <w:t>rganization or its mission.</w:t>
            </w:r>
          </w:p>
        </w:tc>
        <w:tc>
          <w:tcPr>
            <w:tcW w:w="3705" w:type="dxa"/>
            <w:shd w:val="clear" w:color="auto" w:fill="auto"/>
            <w:tcMar>
              <w:top w:w="100" w:type="dxa"/>
              <w:left w:w="100" w:type="dxa"/>
              <w:bottom w:w="100" w:type="dxa"/>
              <w:right w:w="100" w:type="dxa"/>
            </w:tcMar>
          </w:tcPr>
          <w:p w:rsidR="009A0FC1" w:rsidRDefault="004D1221">
            <w:pPr>
              <w:widowControl w:val="0"/>
            </w:pPr>
            <w:r>
              <w:lastRenderedPageBreak/>
              <w:t xml:space="preserve">The US economy will enter into a recession through Q3 caused by the pandemic peaking in May. We have to cancel all in-person protests and associated programs thru Sept. As a result, we expect a </w:t>
            </w:r>
            <w:r>
              <w:lastRenderedPageBreak/>
              <w:t>nearly 45% drop in 2020 revenue.</w:t>
            </w:r>
          </w:p>
        </w:tc>
        <w:tc>
          <w:tcPr>
            <w:tcW w:w="4080" w:type="dxa"/>
            <w:shd w:val="clear" w:color="auto" w:fill="auto"/>
            <w:tcMar>
              <w:top w:w="100" w:type="dxa"/>
              <w:left w:w="100" w:type="dxa"/>
              <w:bottom w:w="100" w:type="dxa"/>
              <w:right w:w="100" w:type="dxa"/>
            </w:tcMar>
          </w:tcPr>
          <w:p w:rsidR="009A0FC1" w:rsidRDefault="004D1221">
            <w:pPr>
              <w:widowControl w:val="0"/>
            </w:pPr>
            <w:r>
              <w:lastRenderedPageBreak/>
              <w:t>W</w:t>
            </w:r>
            <w:r>
              <w:t xml:space="preserve">e are confronting a deep and prolonged recession that will continue into 2021. We have to cancel all scheduled program work and Days of Action for the rest of the year. We expect to lose almost 65% of 2020 </w:t>
            </w:r>
            <w:r>
              <w:lastRenderedPageBreak/>
              <w:t>revenue with impacts well into 2021.</w:t>
            </w:r>
          </w:p>
        </w:tc>
      </w:tr>
    </w:tbl>
    <w:p w:rsidR="009A0FC1" w:rsidRDefault="009A0FC1"/>
    <w:p w:rsidR="009A0FC1" w:rsidRDefault="004D1221">
      <w:pPr>
        <w:pStyle w:val="Heading1"/>
        <w:spacing w:before="0"/>
      </w:pPr>
      <w:bookmarkStart w:id="9" w:name="_5totxdwveg0g" w:colFirst="0" w:colLast="0"/>
      <w:bookmarkEnd w:id="9"/>
      <w:r>
        <w:t>Step 2. Create an Action Plan for One Scenario</w:t>
      </w:r>
    </w:p>
    <w:tbl>
      <w:tblPr>
        <w:tblStyle w:val="a2"/>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0"/>
        <w:gridCol w:w="6000"/>
      </w:tblGrid>
      <w:tr w:rsidR="009A0FC1">
        <w:tc>
          <w:tcPr>
            <w:tcW w:w="8400" w:type="dxa"/>
            <w:shd w:val="clear" w:color="auto" w:fill="802144"/>
            <w:tcMar>
              <w:top w:w="100" w:type="dxa"/>
              <w:left w:w="100" w:type="dxa"/>
              <w:bottom w:w="100" w:type="dxa"/>
              <w:right w:w="100" w:type="dxa"/>
            </w:tcMar>
          </w:tcPr>
          <w:p w:rsidR="009A0FC1" w:rsidRDefault="004D1221">
            <w:pPr>
              <w:widowControl w:val="0"/>
              <w:jc w:val="center"/>
              <w:rPr>
                <w:b/>
                <w:color w:val="FFFFFF"/>
              </w:rPr>
            </w:pPr>
            <w:r>
              <w:rPr>
                <w:b/>
                <w:color w:val="FFFFFF"/>
              </w:rPr>
              <w:t>Scenario Name &amp; Description</w:t>
            </w:r>
          </w:p>
        </w:tc>
        <w:tc>
          <w:tcPr>
            <w:tcW w:w="6000" w:type="dxa"/>
            <w:shd w:val="clear" w:color="auto" w:fill="802144"/>
            <w:tcMar>
              <w:top w:w="100" w:type="dxa"/>
              <w:left w:w="100" w:type="dxa"/>
              <w:bottom w:w="100" w:type="dxa"/>
              <w:right w:w="100" w:type="dxa"/>
            </w:tcMar>
          </w:tcPr>
          <w:p w:rsidR="009A0FC1" w:rsidRDefault="004D1221">
            <w:pPr>
              <w:widowControl w:val="0"/>
              <w:jc w:val="center"/>
              <w:rPr>
                <w:b/>
                <w:color w:val="FFFFFF"/>
              </w:rPr>
            </w:pPr>
            <w:r>
              <w:rPr>
                <w:b/>
                <w:color w:val="FFFFFF"/>
              </w:rPr>
              <w:t>Our Strategy</w:t>
            </w:r>
          </w:p>
        </w:tc>
      </w:tr>
      <w:tr w:rsidR="009A0FC1">
        <w:trPr>
          <w:trHeight w:val="1515"/>
        </w:trPr>
        <w:tc>
          <w:tcPr>
            <w:tcW w:w="8400" w:type="dxa"/>
            <w:shd w:val="clear" w:color="auto" w:fill="auto"/>
            <w:tcMar>
              <w:top w:w="100" w:type="dxa"/>
              <w:left w:w="100" w:type="dxa"/>
              <w:bottom w:w="100" w:type="dxa"/>
              <w:right w:w="100" w:type="dxa"/>
            </w:tcMar>
          </w:tcPr>
          <w:p w:rsidR="009A0FC1" w:rsidRDefault="004D1221">
            <w:pPr>
              <w:widowControl w:val="0"/>
              <w:rPr>
                <w:b/>
              </w:rPr>
            </w:pPr>
            <w:r>
              <w:rPr>
                <w:b/>
              </w:rPr>
              <w:t xml:space="preserve">Scenario B (The Most Likely Scenario): </w:t>
            </w:r>
            <w:r>
              <w:t>The US economy will enter into a recession through Q3 caused by the pandemic peaking in May. We have to cancel all in-person pro</w:t>
            </w:r>
            <w:r>
              <w:t>tests and associated programs through Sept. As a result, we expect a nearly 45% drop in 2020 revenue.</w:t>
            </w:r>
          </w:p>
        </w:tc>
        <w:tc>
          <w:tcPr>
            <w:tcW w:w="6000" w:type="dxa"/>
            <w:shd w:val="clear" w:color="auto" w:fill="auto"/>
            <w:tcMar>
              <w:top w:w="100" w:type="dxa"/>
              <w:left w:w="100" w:type="dxa"/>
              <w:bottom w:w="100" w:type="dxa"/>
              <w:right w:w="100" w:type="dxa"/>
            </w:tcMar>
          </w:tcPr>
          <w:p w:rsidR="009A0FC1" w:rsidRDefault="004D1221">
            <w:pPr>
              <w:widowControl w:val="0"/>
              <w:numPr>
                <w:ilvl w:val="0"/>
                <w:numId w:val="1"/>
              </w:numPr>
              <w:ind w:left="630"/>
            </w:pPr>
            <w:r>
              <w:t>Make spending cuts such that the revenue and expense curves align again by fall</w:t>
            </w:r>
          </w:p>
          <w:p w:rsidR="009A0FC1" w:rsidRDefault="004D1221">
            <w:pPr>
              <w:widowControl w:val="0"/>
              <w:numPr>
                <w:ilvl w:val="0"/>
                <w:numId w:val="1"/>
              </w:numPr>
              <w:ind w:left="630"/>
            </w:pPr>
            <w:r>
              <w:t>Create the playbook on “virtual protests”</w:t>
            </w:r>
          </w:p>
          <w:p w:rsidR="009A0FC1" w:rsidRDefault="004D1221">
            <w:pPr>
              <w:widowControl w:val="0"/>
              <w:numPr>
                <w:ilvl w:val="0"/>
                <w:numId w:val="1"/>
              </w:numPr>
              <w:ind w:left="630"/>
            </w:pPr>
            <w:r>
              <w:t>Identify other ways to build awareness of IR issues</w:t>
            </w:r>
          </w:p>
        </w:tc>
      </w:tr>
      <w:tr w:rsidR="009A0FC1">
        <w:trPr>
          <w:trHeight w:val="345"/>
        </w:trPr>
        <w:tc>
          <w:tcPr>
            <w:tcW w:w="8400" w:type="dxa"/>
            <w:shd w:val="clear" w:color="auto" w:fill="802144"/>
            <w:tcMar>
              <w:top w:w="100" w:type="dxa"/>
              <w:left w:w="100" w:type="dxa"/>
              <w:bottom w:w="100" w:type="dxa"/>
              <w:right w:w="100" w:type="dxa"/>
            </w:tcMar>
          </w:tcPr>
          <w:p w:rsidR="009A0FC1" w:rsidRDefault="004D1221">
            <w:pPr>
              <w:widowControl w:val="0"/>
              <w:jc w:val="center"/>
              <w:rPr>
                <w:b/>
                <w:color w:val="FFFFFF"/>
              </w:rPr>
            </w:pPr>
            <w:r>
              <w:rPr>
                <w:b/>
                <w:color w:val="FFFFFF"/>
              </w:rPr>
              <w:t>Immediate Next Steps, Timelines &amp; Owners</w:t>
            </w:r>
          </w:p>
        </w:tc>
        <w:tc>
          <w:tcPr>
            <w:tcW w:w="6000" w:type="dxa"/>
            <w:shd w:val="clear" w:color="auto" w:fill="802144"/>
            <w:tcMar>
              <w:top w:w="100" w:type="dxa"/>
              <w:left w:w="100" w:type="dxa"/>
              <w:bottom w:w="100" w:type="dxa"/>
              <w:right w:w="100" w:type="dxa"/>
            </w:tcMar>
          </w:tcPr>
          <w:p w:rsidR="009A0FC1" w:rsidRDefault="004D1221">
            <w:pPr>
              <w:widowControl w:val="0"/>
              <w:jc w:val="center"/>
              <w:rPr>
                <w:b/>
                <w:color w:val="FFFFFF"/>
              </w:rPr>
            </w:pPr>
            <w:r>
              <w:rPr>
                <w:b/>
                <w:color w:val="FFFFFF"/>
              </w:rPr>
              <w:t>Ideas for Future Consideration</w:t>
            </w:r>
          </w:p>
        </w:tc>
      </w:tr>
      <w:tr w:rsidR="009A0FC1">
        <w:trPr>
          <w:trHeight w:val="1695"/>
        </w:trPr>
        <w:tc>
          <w:tcPr>
            <w:tcW w:w="8400" w:type="dxa"/>
            <w:shd w:val="clear" w:color="auto" w:fill="auto"/>
            <w:tcMar>
              <w:top w:w="100" w:type="dxa"/>
              <w:left w:w="100" w:type="dxa"/>
              <w:bottom w:w="100" w:type="dxa"/>
              <w:right w:w="100" w:type="dxa"/>
            </w:tcMar>
          </w:tcPr>
          <w:p w:rsidR="009A0FC1" w:rsidRDefault="004D1221">
            <w:pPr>
              <w:widowControl w:val="0"/>
              <w:numPr>
                <w:ilvl w:val="0"/>
                <w:numId w:val="2"/>
              </w:numPr>
              <w:ind w:left="630"/>
            </w:pPr>
            <w:r>
              <w:t>Apply for PPP through CARES act (done)</w:t>
            </w:r>
          </w:p>
          <w:p w:rsidR="009A0FC1" w:rsidRDefault="004D1221">
            <w:pPr>
              <w:widowControl w:val="0"/>
              <w:numPr>
                <w:ilvl w:val="0"/>
                <w:numId w:val="2"/>
              </w:numPr>
              <w:ind w:left="630"/>
            </w:pPr>
            <w:r>
              <w:t>Call major donors and test 2020 commitment (Alia, first week of May)</w:t>
            </w:r>
          </w:p>
          <w:p w:rsidR="009A0FC1" w:rsidRDefault="004D1221">
            <w:pPr>
              <w:widowControl w:val="0"/>
              <w:numPr>
                <w:ilvl w:val="0"/>
                <w:numId w:val="2"/>
              </w:numPr>
              <w:ind w:left="630"/>
            </w:pPr>
            <w:r>
              <w:t>Draft a staged, equitable plan to cut spending (Beata, first week of May)</w:t>
            </w:r>
          </w:p>
          <w:p w:rsidR="009A0FC1" w:rsidRDefault="004D1221">
            <w:pPr>
              <w:widowControl w:val="0"/>
              <w:numPr>
                <w:ilvl w:val="0"/>
                <w:numId w:val="2"/>
              </w:numPr>
              <w:ind w:left="630"/>
            </w:pPr>
            <w:r>
              <w:t>Propose five ideas for building awareness without holding in-person protests (Carlos, in consultation with the rest of the org, second week of May)</w:t>
            </w:r>
          </w:p>
          <w:p w:rsidR="009A0FC1" w:rsidRDefault="004D1221">
            <w:pPr>
              <w:widowControl w:val="0"/>
              <w:numPr>
                <w:ilvl w:val="0"/>
                <w:numId w:val="2"/>
              </w:numPr>
              <w:ind w:left="630"/>
            </w:pPr>
            <w:r>
              <w:t xml:space="preserve">Try out the first “virtual protest” to coincide with May 15 planned Day of Action (Dante, second week of May) </w:t>
            </w:r>
          </w:p>
          <w:p w:rsidR="009A0FC1" w:rsidRDefault="004D1221">
            <w:pPr>
              <w:widowControl w:val="0"/>
              <w:numPr>
                <w:ilvl w:val="0"/>
                <w:numId w:val="2"/>
              </w:numPr>
              <w:ind w:left="630"/>
            </w:pPr>
            <w:r>
              <w:t>Webinar with volunteers (Elena, end of April, and repeat every other week)</w:t>
            </w:r>
          </w:p>
        </w:tc>
        <w:tc>
          <w:tcPr>
            <w:tcW w:w="6000" w:type="dxa"/>
            <w:shd w:val="clear" w:color="auto" w:fill="auto"/>
            <w:tcMar>
              <w:top w:w="100" w:type="dxa"/>
              <w:left w:w="100" w:type="dxa"/>
              <w:bottom w:w="100" w:type="dxa"/>
              <w:right w:w="100" w:type="dxa"/>
            </w:tcMar>
          </w:tcPr>
          <w:p w:rsidR="009A0FC1" w:rsidRDefault="004D1221">
            <w:pPr>
              <w:widowControl w:val="0"/>
              <w:numPr>
                <w:ilvl w:val="0"/>
                <w:numId w:val="3"/>
              </w:numPr>
              <w:ind w:left="630"/>
            </w:pPr>
            <w:r>
              <w:t>ID 5 organizations who work with undocumented immigrants to (potential</w:t>
            </w:r>
            <w:r>
              <w:t xml:space="preserve">ly) partner with </w:t>
            </w:r>
          </w:p>
          <w:p w:rsidR="009A0FC1" w:rsidRDefault="004D1221">
            <w:pPr>
              <w:widowControl w:val="0"/>
              <w:numPr>
                <w:ilvl w:val="0"/>
                <w:numId w:val="3"/>
              </w:numPr>
              <w:ind w:left="630"/>
            </w:pPr>
            <w:r>
              <w:t>Talk to other orgs in our sector to see how they’re reacting/adapting rallies</w:t>
            </w:r>
          </w:p>
          <w:p w:rsidR="009A0FC1" w:rsidRDefault="004D1221">
            <w:pPr>
              <w:widowControl w:val="0"/>
              <w:numPr>
                <w:ilvl w:val="0"/>
                <w:numId w:val="3"/>
              </w:numPr>
              <w:ind w:left="630"/>
            </w:pPr>
            <w:r>
              <w:t>Build relationship with Tier 1 media to help broadcast our message</w:t>
            </w:r>
          </w:p>
          <w:p w:rsidR="009A0FC1" w:rsidRDefault="004D1221">
            <w:pPr>
              <w:widowControl w:val="0"/>
              <w:numPr>
                <w:ilvl w:val="0"/>
                <w:numId w:val="3"/>
              </w:numPr>
              <w:ind w:left="630"/>
            </w:pPr>
            <w:r>
              <w:t>Identify potential new donors</w:t>
            </w:r>
          </w:p>
        </w:tc>
      </w:tr>
      <w:tr w:rsidR="009A0FC1">
        <w:trPr>
          <w:trHeight w:val="495"/>
        </w:trPr>
        <w:tc>
          <w:tcPr>
            <w:tcW w:w="14400" w:type="dxa"/>
            <w:gridSpan w:val="2"/>
            <w:shd w:val="clear" w:color="auto" w:fill="802144"/>
            <w:tcMar>
              <w:top w:w="100" w:type="dxa"/>
              <w:left w:w="100" w:type="dxa"/>
              <w:bottom w:w="100" w:type="dxa"/>
              <w:right w:w="100" w:type="dxa"/>
            </w:tcMar>
          </w:tcPr>
          <w:p w:rsidR="009A0FC1" w:rsidRDefault="004D1221">
            <w:pPr>
              <w:widowControl w:val="0"/>
              <w:jc w:val="center"/>
              <w:rPr>
                <w:b/>
                <w:color w:val="FFFFFF"/>
              </w:rPr>
            </w:pPr>
            <w:r>
              <w:rPr>
                <w:b/>
                <w:color w:val="FFFFFF"/>
              </w:rPr>
              <w:t>Indicators to Track</w:t>
            </w:r>
          </w:p>
        </w:tc>
      </w:tr>
      <w:tr w:rsidR="009A0FC1">
        <w:trPr>
          <w:trHeight w:val="1695"/>
        </w:trPr>
        <w:tc>
          <w:tcPr>
            <w:tcW w:w="14400" w:type="dxa"/>
            <w:gridSpan w:val="2"/>
            <w:shd w:val="clear" w:color="auto" w:fill="auto"/>
            <w:tcMar>
              <w:top w:w="100" w:type="dxa"/>
              <w:left w:w="100" w:type="dxa"/>
              <w:bottom w:w="100" w:type="dxa"/>
              <w:right w:w="100" w:type="dxa"/>
            </w:tcMar>
          </w:tcPr>
          <w:p w:rsidR="009A0FC1" w:rsidRDefault="004D1221">
            <w:pPr>
              <w:widowControl w:val="0"/>
              <w:numPr>
                <w:ilvl w:val="0"/>
                <w:numId w:val="5"/>
              </w:numPr>
              <w:ind w:left="630"/>
            </w:pPr>
            <w:r>
              <w:t>50% of the states we operate in are considered “past the peak” by May 30</w:t>
            </w:r>
          </w:p>
          <w:p w:rsidR="009A0FC1" w:rsidRDefault="004D1221">
            <w:pPr>
              <w:widowControl w:val="0"/>
              <w:numPr>
                <w:ilvl w:val="0"/>
                <w:numId w:val="5"/>
              </w:numPr>
              <w:ind w:left="630"/>
            </w:pPr>
            <w:r>
              <w:t>50% of major donors reaffirm 2020 commitment</w:t>
            </w:r>
          </w:p>
          <w:p w:rsidR="009A0FC1" w:rsidRDefault="004D1221">
            <w:pPr>
              <w:widowControl w:val="0"/>
              <w:numPr>
                <w:ilvl w:val="0"/>
                <w:numId w:val="5"/>
              </w:numPr>
              <w:ind w:left="630"/>
            </w:pPr>
            <w:r>
              <w:t>Turn out and impact measures for the virtual protest on May 15 are at least 40% of what we expect through Days of Action</w:t>
            </w:r>
          </w:p>
          <w:p w:rsidR="009A0FC1" w:rsidRDefault="004D1221">
            <w:pPr>
              <w:widowControl w:val="0"/>
              <w:numPr>
                <w:ilvl w:val="0"/>
                <w:numId w:val="5"/>
              </w:numPr>
              <w:ind w:left="630"/>
            </w:pPr>
            <w:r>
              <w:t>60% of volunteers</w:t>
            </w:r>
            <w:r>
              <w:t xml:space="preserve"> continue participating/engaging virtually</w:t>
            </w:r>
          </w:p>
          <w:p w:rsidR="009A0FC1" w:rsidRDefault="004D1221">
            <w:pPr>
              <w:widowControl w:val="0"/>
              <w:numPr>
                <w:ilvl w:val="0"/>
                <w:numId w:val="4"/>
              </w:numPr>
              <w:ind w:left="630"/>
            </w:pPr>
            <w:r>
              <w:t>Get approved for PPP grant/loan</w:t>
            </w:r>
          </w:p>
          <w:p w:rsidR="009A0FC1" w:rsidRDefault="004D1221">
            <w:pPr>
              <w:widowControl w:val="0"/>
              <w:numPr>
                <w:ilvl w:val="0"/>
                <w:numId w:val="4"/>
              </w:numPr>
              <w:ind w:left="630"/>
            </w:pPr>
            <w:r>
              <w:t>We can find a path to a 10% operating cost cut without touching payroll</w:t>
            </w:r>
          </w:p>
          <w:p w:rsidR="009A0FC1" w:rsidRDefault="004D1221">
            <w:pPr>
              <w:widowControl w:val="0"/>
            </w:pPr>
            <w:r>
              <w:t>(If ”‘no” for most of the above, we have to operate as if we are in the Pessimistic scenario)</w:t>
            </w:r>
          </w:p>
          <w:p w:rsidR="009A0FC1" w:rsidRDefault="004D1221">
            <w:pPr>
              <w:widowControl w:val="0"/>
            </w:pPr>
            <w:r>
              <w:t>Next Meeting on</w:t>
            </w:r>
            <w:r>
              <w:t xml:space="preserve"> May 20 to discuss early indicators and see if we need to trigger the next set of actions</w:t>
            </w:r>
          </w:p>
        </w:tc>
      </w:tr>
    </w:tbl>
    <w:p w:rsidR="009A0FC1" w:rsidRDefault="009A0FC1"/>
    <w:sectPr w:rsidR="009A0FC1">
      <w:headerReference w:type="default" r:id="rId7"/>
      <w:footerReference w:type="default" r:id="rId8"/>
      <w:headerReference w:type="first" r:id="rId9"/>
      <w:footerReference w:type="first" r:id="rId10"/>
      <w:pgSz w:w="15840" w:h="122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D1221">
      <w:r>
        <w:separator/>
      </w:r>
    </w:p>
  </w:endnote>
  <w:endnote w:type="continuationSeparator" w:id="0">
    <w:p w:rsidR="00000000" w:rsidRDefault="004D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C1" w:rsidRDefault="004D1221">
    <w:pPr>
      <w:tabs>
        <w:tab w:val="center" w:pos="4320"/>
        <w:tab w:val="right" w:pos="14400"/>
      </w:tabs>
      <w:rPr>
        <w:sz w:val="20"/>
        <w:szCs w:val="20"/>
      </w:rPr>
    </w:pPr>
    <w:r>
      <w:rPr>
        <w:color w:val="666666"/>
        <w:sz w:val="20"/>
        <w:szCs w:val="20"/>
      </w:rPr>
      <w:t xml:space="preserve">©The Management Center </w:t>
    </w:r>
    <w:r>
      <w:rPr>
        <w:color w:val="666666"/>
        <w:sz w:val="20"/>
        <w:szCs w:val="20"/>
      </w:rPr>
      <w:tab/>
    </w:r>
    <w:r>
      <w:rPr>
        <w:color w:val="666666"/>
        <w:sz w:val="20"/>
        <w:szCs w:val="20"/>
      </w:rPr>
      <w:t xml:space="preserve">                                                                   5-Box Scenario Planning Tool</w:t>
    </w:r>
    <w:r>
      <w:rPr>
        <w:color w:val="666666"/>
        <w:sz w:val="20"/>
        <w:szCs w:val="20"/>
      </w:rPr>
      <w:tab/>
    </w:r>
    <w:r>
      <w:rPr>
        <w:color w:val="666666"/>
        <w:sz w:val="20"/>
        <w:szCs w:val="20"/>
      </w:rPr>
      <w:fldChar w:fldCharType="begin"/>
    </w:r>
    <w:r>
      <w:rPr>
        <w:color w:val="666666"/>
        <w:sz w:val="20"/>
        <w:szCs w:val="20"/>
      </w:rPr>
      <w:instrText>PAGE</w:instrText>
    </w:r>
    <w:r>
      <w:rPr>
        <w:color w:val="666666"/>
        <w:sz w:val="20"/>
        <w:szCs w:val="20"/>
      </w:rPr>
      <w:fldChar w:fldCharType="separate"/>
    </w:r>
    <w:r>
      <w:rPr>
        <w:noProof/>
        <w:color w:val="666666"/>
        <w:sz w:val="20"/>
        <w:szCs w:val="20"/>
      </w:rPr>
      <w:t>2</w:t>
    </w:r>
    <w:r>
      <w:rPr>
        <w:color w:val="666666"/>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C1" w:rsidRDefault="004D1221">
    <w:pPr>
      <w:tabs>
        <w:tab w:val="center" w:pos="4320"/>
        <w:tab w:val="right" w:pos="14310"/>
      </w:tabs>
      <w:rPr>
        <w:color w:val="FFFFFF"/>
        <w:sz w:val="20"/>
        <w:szCs w:val="20"/>
      </w:rPr>
    </w:pPr>
    <w:r>
      <w:rPr>
        <w:color w:val="666666"/>
        <w:sz w:val="20"/>
        <w:szCs w:val="20"/>
      </w:rPr>
      <w:t xml:space="preserve">©The Management Center </w:t>
    </w:r>
    <w:r>
      <w:rPr>
        <w:color w:val="666666"/>
        <w:sz w:val="20"/>
        <w:szCs w:val="20"/>
      </w:rPr>
      <w:tab/>
    </w:r>
    <w:r>
      <w:rPr>
        <w:color w:val="666666"/>
        <w:sz w:val="20"/>
        <w:szCs w:val="20"/>
      </w:rPr>
      <w:tab/>
    </w:r>
    <w:r>
      <w:rPr>
        <w:color w:val="FFFFFF"/>
        <w:sz w:val="20"/>
        <w:szCs w:val="20"/>
      </w:rPr>
      <w:t>Date Created: 4.29.2020</w:t>
    </w:r>
  </w:p>
  <w:p w:rsidR="009A0FC1" w:rsidRDefault="004D1221">
    <w:pPr>
      <w:tabs>
        <w:tab w:val="center" w:pos="4320"/>
        <w:tab w:val="right" w:pos="14310"/>
      </w:tabs>
      <w:rPr>
        <w:color w:val="FFFFFF"/>
        <w:sz w:val="16"/>
        <w:szCs w:val="16"/>
      </w:rPr>
    </w:pPr>
    <w:r>
      <w:rPr>
        <w:color w:val="FFFFFF"/>
        <w:sz w:val="16"/>
        <w:szCs w:val="16"/>
      </w:rPr>
      <w:tab/>
    </w:r>
    <w:r>
      <w:rPr>
        <w:color w:val="FFFFFF"/>
        <w:sz w:val="16"/>
        <w:szCs w:val="16"/>
      </w:rPr>
      <w:tab/>
      <w:t>Last Modified: 5.5.2020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D1221">
      <w:r>
        <w:separator/>
      </w:r>
    </w:p>
  </w:footnote>
  <w:footnote w:type="continuationSeparator" w:id="0">
    <w:p w:rsidR="00000000" w:rsidRDefault="004D1221">
      <w:r>
        <w:continuationSeparator/>
      </w:r>
    </w:p>
  </w:footnote>
  <w:footnote w:id="1">
    <w:p w:rsidR="009A0FC1" w:rsidRDefault="004D1221">
      <w:pPr>
        <w:rPr>
          <w:sz w:val="18"/>
          <w:szCs w:val="18"/>
        </w:rPr>
      </w:pPr>
      <w:r>
        <w:rPr>
          <w:vertAlign w:val="superscript"/>
        </w:rPr>
        <w:footnoteRef/>
      </w:r>
      <w:r>
        <w:rPr>
          <w:sz w:val="20"/>
          <w:szCs w:val="20"/>
        </w:rPr>
        <w:t xml:space="preserve"> </w:t>
      </w:r>
      <w:r>
        <w:rPr>
          <w:sz w:val="18"/>
          <w:szCs w:val="18"/>
        </w:rPr>
        <w:t>This is the anchoring assumption that drives the scenario. If the scenario planning process is being driven by COVID-19, it could be the “timing of restrictions.” If you’re doing scenario planning in a non-COVID-19 context, a key assumption might be “who w</w:t>
      </w:r>
      <w:r>
        <w:rPr>
          <w:sz w:val="18"/>
          <w:szCs w:val="18"/>
        </w:rPr>
        <w:t>ins the 2020 presidential election” or “The Supreme Court rules X on Y issue.” The other assumptions (programmatic, revenue, and people) follow from the key assumption.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C1" w:rsidRDefault="009A0F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C1" w:rsidRDefault="004D1221">
    <w:r>
      <w:rPr>
        <w:noProof/>
        <w:lang w:val="en-US"/>
      </w:rPr>
      <w:drawing>
        <wp:inline distT="114300" distB="114300" distL="114300" distR="114300">
          <wp:extent cx="1640681" cy="5572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0681" cy="55721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1192F"/>
    <w:multiLevelType w:val="multilevel"/>
    <w:tmpl w:val="C472D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CE527F"/>
    <w:multiLevelType w:val="multilevel"/>
    <w:tmpl w:val="31A05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DA5B1C"/>
    <w:multiLevelType w:val="multilevel"/>
    <w:tmpl w:val="1B7CA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926D1E"/>
    <w:multiLevelType w:val="multilevel"/>
    <w:tmpl w:val="F3720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FA73EC"/>
    <w:multiLevelType w:val="multilevel"/>
    <w:tmpl w:val="EA708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C1"/>
    <w:rsid w:val="004D1221"/>
    <w:rsid w:val="009A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46129-8B42-49DA-A2F8-725C94A6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120"/>
      <w:outlineLvl w:val="0"/>
    </w:pPr>
    <w:rPr>
      <w:b/>
      <w:color w:val="802144"/>
      <w:sz w:val="28"/>
      <w:szCs w:val="28"/>
    </w:rPr>
  </w:style>
  <w:style w:type="paragraph" w:styleId="Heading2">
    <w:name w:val="heading 2"/>
    <w:basedOn w:val="Normal"/>
    <w:next w:val="Normal"/>
    <w:pPr>
      <w:keepNext/>
      <w:keepLines/>
      <w:spacing w:before="200" w:after="120"/>
      <w:ind w:right="-620"/>
      <w:outlineLvl w:val="1"/>
    </w:pPr>
    <w:rPr>
      <w:b/>
      <w:color w:val="07627C"/>
      <w:sz w:val="24"/>
      <w:szCs w:val="24"/>
    </w:rPr>
  </w:style>
  <w:style w:type="paragraph" w:styleId="Heading3">
    <w:name w:val="heading 3"/>
    <w:basedOn w:val="Normal"/>
    <w:next w:val="Normal"/>
    <w:pPr>
      <w:keepNext/>
      <w:keepLines/>
      <w:spacing w:before="200" w:after="200"/>
      <w:outlineLvl w:val="2"/>
    </w:pPr>
    <w:rPr>
      <w:b/>
      <w:color w:val="2A2C2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jc w:val="center"/>
    </w:pPr>
    <w:rPr>
      <w:b/>
      <w:color w:val="802144"/>
      <w:sz w:val="36"/>
      <w:szCs w:val="36"/>
    </w:rPr>
  </w:style>
  <w:style w:type="paragraph" w:styleId="Subtitle">
    <w:name w:val="Subtitle"/>
    <w:basedOn w:val="Normal"/>
    <w:next w:val="Normal"/>
    <w:pPr>
      <w:keepNext/>
      <w:keepLines/>
      <w:jc w:val="center"/>
    </w:pPr>
    <w:rPr>
      <w:i/>
      <w:color w:val="77777A"/>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Ferguson</dc:creator>
  <cp:lastModifiedBy>Bob Ferguson</cp:lastModifiedBy>
  <cp:revision>2</cp:revision>
  <dcterms:created xsi:type="dcterms:W3CDTF">2020-10-08T15:05:00Z</dcterms:created>
  <dcterms:modified xsi:type="dcterms:W3CDTF">2020-10-08T15:05:00Z</dcterms:modified>
</cp:coreProperties>
</file>